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AF1" w:rsidRDefault="006A1AF1" w:rsidP="006A1AF1">
      <w:pPr>
        <w:jc w:val="right"/>
      </w:pPr>
      <w:r>
        <w:t>Приложение 1 к документации о закупке</w:t>
      </w:r>
    </w:p>
    <w:p w:rsidR="006A1AF1" w:rsidRDefault="006A1AF1" w:rsidP="006A1AF1">
      <w:pPr>
        <w:jc w:val="right"/>
      </w:pPr>
    </w:p>
    <w:p w:rsidR="006A1AF1" w:rsidRDefault="006A1AF1" w:rsidP="006A1AF1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6A1AF1" w:rsidRDefault="006A1AF1" w:rsidP="006A1AF1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Оказание услуг по технической поддержке системы ITSM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>АО ЭнергосбыТ Плюс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Цели сопровождения</w:t>
      </w:r>
    </w:p>
    <w:p w:rsidR="008164BF" w:rsidRPr="008164BF" w:rsidRDefault="008164BF" w:rsidP="008164BF">
      <w:pPr>
        <w:spacing w:after="120" w:line="240" w:lineRule="auto"/>
        <w:ind w:firstLine="284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Основными целями оказания услуг по технической поддержке Системы </w:t>
      </w:r>
      <w:r w:rsidRPr="008164BF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(далее  Система) являются обеспечение её бесперебойного функционирования, обновление руководств пользователя и администратора, а также оперативное решение проблем, возникающих у пользователей при эксплуатации Системы.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lastRenderedPageBreak/>
        <w:t xml:space="preserve">Заказчик: </w:t>
      </w:r>
    </w:p>
    <w:p w:rsidR="008164BF" w:rsidRPr="008164BF" w:rsidRDefault="008164BF" w:rsidP="008164BF">
      <w:pPr>
        <w:spacing w:after="120" w:line="240" w:lineRule="auto"/>
        <w:rPr>
          <w:rFonts w:ascii="Tahoma" w:eastAsia="SimSun" w:hAnsi="Tahoma" w:cs="Tahoma"/>
          <w:b/>
          <w:sz w:val="20"/>
          <w:szCs w:val="20"/>
          <w:lang w:eastAsia="zh-CN"/>
        </w:rPr>
      </w:pPr>
      <w:r w:rsidRPr="008164BF">
        <w:rPr>
          <w:rFonts w:ascii="Tahoma" w:eastAsia="SimSun" w:hAnsi="Tahoma" w:cs="Tahoma"/>
          <w:sz w:val="20"/>
          <w:szCs w:val="20"/>
          <w:lang w:eastAsia="zh-CN"/>
        </w:rPr>
        <w:t>АО «</w:t>
      </w:r>
      <w:r w:rsidRPr="008164BF">
        <w:rPr>
          <w:rFonts w:ascii="Tahoma" w:eastAsiaTheme="minorEastAsia" w:hAnsi="Tahoma" w:cs="Tahoma"/>
          <w:sz w:val="20"/>
          <w:szCs w:val="20"/>
        </w:rPr>
        <w:t>ЭнергосбыТ</w:t>
      </w:r>
      <w:r w:rsidRPr="008164BF">
        <w:rPr>
          <w:rFonts w:ascii="Tahoma" w:eastAsia="SimSun" w:hAnsi="Tahoma" w:cs="Tahoma"/>
          <w:sz w:val="20"/>
          <w:szCs w:val="20"/>
          <w:lang w:eastAsia="zh-CN"/>
        </w:rPr>
        <w:t xml:space="preserve"> Плюс», далее по тексту (Заказчик).</w:t>
      </w:r>
    </w:p>
    <w:p w:rsidR="008164BF" w:rsidRPr="008164BF" w:rsidRDefault="008164BF" w:rsidP="008164BF">
      <w:pPr>
        <w:spacing w:after="120" w:line="240" w:lineRule="auto"/>
        <w:ind w:left="720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Требования к организационному объему услуг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Услуги оказываются для нужд всех филиалов АО «ЭнергосбыТ Плюс»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 xml:space="preserve">Требования к срокам </w:t>
      </w:r>
      <w:bookmarkStart w:id="0" w:name="_Toc508800633"/>
      <w:r w:rsidRPr="008164BF">
        <w:rPr>
          <w:rFonts w:ascii="Tahoma" w:eastAsiaTheme="minorEastAsia" w:hAnsi="Tahoma" w:cs="Tahoma"/>
          <w:b/>
          <w:sz w:val="20"/>
          <w:szCs w:val="20"/>
        </w:rPr>
        <w:t>оказания услуг.</w:t>
      </w:r>
    </w:p>
    <w:bookmarkEnd w:id="0"/>
    <w:p w:rsidR="008164BF" w:rsidRPr="008164BF" w:rsidRDefault="00921AC2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921AC2">
        <w:rPr>
          <w:rFonts w:ascii="Tahoma" w:eastAsia="Calibri" w:hAnsi="Tahoma" w:cs="Tahoma"/>
          <w:sz w:val="20"/>
          <w:szCs w:val="20"/>
        </w:rPr>
        <w:t>Общий срок оказания Услуг:</w:t>
      </w:r>
      <w:bookmarkStart w:id="1" w:name="_GoBack"/>
      <w:bookmarkEnd w:id="1"/>
      <w:r>
        <w:rPr>
          <w:rFonts w:ascii="Tahoma" w:eastAsiaTheme="minorEastAsia" w:hAnsi="Tahoma" w:cs="Tahoma"/>
          <w:sz w:val="20"/>
          <w:szCs w:val="20"/>
        </w:rPr>
        <w:t xml:space="preserve"> </w:t>
      </w:r>
      <w:r w:rsidRPr="00921AC2">
        <w:rPr>
          <w:rFonts w:ascii="Tahoma" w:eastAsia="Calibri" w:hAnsi="Tahoma" w:cs="Tahoma"/>
          <w:sz w:val="20"/>
          <w:szCs w:val="20"/>
        </w:rPr>
        <w:t xml:space="preserve">в течение 12 месяцев с даты </w:t>
      </w:r>
      <w:r>
        <w:rPr>
          <w:rFonts w:ascii="Tahoma" w:eastAsia="Calibri" w:hAnsi="Tahoma" w:cs="Tahoma"/>
          <w:sz w:val="20"/>
          <w:szCs w:val="20"/>
        </w:rPr>
        <w:t>заключения</w:t>
      </w:r>
      <w:r w:rsidRPr="00921AC2">
        <w:rPr>
          <w:rFonts w:ascii="Tahoma" w:eastAsia="Calibri" w:hAnsi="Tahoma" w:cs="Tahoma"/>
          <w:sz w:val="20"/>
          <w:szCs w:val="20"/>
        </w:rPr>
        <w:t xml:space="preserve"> Договора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Требования к безопасности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Уровень информационной безопасности при предоставлении услуг не может быть ниже принятого у Заказчика.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lastRenderedPageBreak/>
        <w:t>Взаимодействие сторон в рамках сопровождения</w:t>
      </w:r>
    </w:p>
    <w:p w:rsidR="008164BF" w:rsidRPr="008164BF" w:rsidRDefault="008164BF" w:rsidP="008164BF">
      <w:pPr>
        <w:spacing w:after="120" w:line="240" w:lineRule="auto"/>
        <w:ind w:firstLine="284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Основным каналом обращения за технической поддержкой является сама система </w:t>
      </w:r>
      <w:r w:rsidRPr="008164BF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, установленная у Заказчика.</w:t>
      </w:r>
    </w:p>
    <w:p w:rsidR="008164BF" w:rsidRPr="008164BF" w:rsidRDefault="008164BF" w:rsidP="008164BF">
      <w:pPr>
        <w:spacing w:after="120" w:line="240" w:lineRule="auto"/>
        <w:ind w:firstLine="284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В случае нарушения работы Системы, невозможности регистрации и/или обработки обращения в Системе ITSM, Заказчик подает обращения на почтовый адрес или телефон Исполнителя, указанные в договоре.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Исполнитель: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Обеспечивает обработку обращений, зарегистрированных в Системе на соответствующую конфигурационную единицу и рабочую группу Исполнителя;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При заключении договора предоставляет дополнительные каналы обращения за технической поддержкой:  </w:t>
      </w:r>
    </w:p>
    <w:p w:rsidR="008164BF" w:rsidRPr="008164BF" w:rsidRDefault="008164BF" w:rsidP="008164BF">
      <w:pPr>
        <w:tabs>
          <w:tab w:val="left" w:leader="underscore" w:pos="3544"/>
          <w:tab w:val="right" w:leader="underscore" w:pos="9356"/>
        </w:tabs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Номер телефона Исполнителя</w:t>
      </w:r>
    </w:p>
    <w:p w:rsidR="008164BF" w:rsidRPr="008164BF" w:rsidRDefault="008164BF" w:rsidP="008164BF">
      <w:pPr>
        <w:tabs>
          <w:tab w:val="left" w:leader="underscore" w:pos="3544"/>
          <w:tab w:val="right" w:leader="underscore" w:pos="9356"/>
        </w:tabs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Адрес электронной почты Исполнителя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Оказывает Услуги, указанные в п.1.8 настоящего Технического задания в соответствии с правилами предоставления технической поддержки (Приложение 1 к настоящему Технического задания)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Если инициатором работ является Исполнитель, то Исполнитель информирует по электронной почте представителя Заказчика о необходимости выполнения определенных действий сотрудниками Исполнителя, регистрирует соответствующую заявку в Системе и отслеживает ход ее исполнения в указанные сроки.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На каждый вопрос Заказчика или на возникающую ошибку в Системе оформляется одно Обращение. 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Отдельные работы по технической поддержке могут требовать временной остановки работы Системы, при которой работа всех Пользователей невозможна. Плановой остановкой считается остановка системы в нерабочее время, о которой Заказчик и Исполнитель договариваются заранее и ставят в известность Пользователей.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Все плановые остановки Исполнитель согласует по электронной почте Заказчику не менее чем за 2 дня до проведения работ. 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Остановки, вызванные нарушениями в работе серверного оборудования и программного обеспечения, считаются неплановыми. В этих 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случаях Заказчик или Исполнитель извещает другую сторону по телефону или электронной почте о предполагаемом времени и длительности приостановки работы.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Требования к функциональному объёму оказания услуг</w:t>
      </w:r>
    </w:p>
    <w:p w:rsidR="008164BF" w:rsidRPr="008164BF" w:rsidRDefault="008164BF" w:rsidP="008164BF">
      <w:pPr>
        <w:spacing w:after="120" w:line="240" w:lineRule="auto"/>
        <w:ind w:firstLine="66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Исполнитель выполняет для Заказчика следующие работы по сопровождению Системы: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Информационно-техническое обслуживание Системы, включающее доступ к закрытому форуму поддержки Итилиум с возможностью скачивания новых версий Системы;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Обновление Системы по мере выхода новых версий 1С Итилиум и портала Итилиум;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Консультирование пользователей и администраторов по вопросам эксплуатации системы;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Консультирование пользователей и администраторов по решению проблем, возникающих при работе в Системе;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Регистрация новых и изменение параметров существующих пользователей, назначение ролей, формирование групп пользователей;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Модификация правил обработки заявок и нарядов;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Наполнение справочника организационно-штатной структуры, пользователей и других системных справочников;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Проведение анализа и предоставление инструкций по исправлению ошибок, обусловленных действиями Пользователей;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Устранение последствий ошибок Пользователей и сбоев Системы, в т.ч. восстановление нормального функционирования Системы и нормального состояния хранилища данных;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Устранение ошибок программного обеспечения, приводящих к нарушению функционирования системы в штатном режиме согласно эксплуатационной документации;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Ежедневный контроль работоспособности компонент Системы, мониторинг объектов хранилища данных;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Восстановление компонент Системы после сбоев – при необходимости;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Консультации при обновлении платформы Системы по мере выхода новых версий платформы Итилиум;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Мониторинг производительности Системы и предоставление рекомендаций по увеличению быстродействия;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Расширение существующих и разработка новых отчетов;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Расширение существующей функциональности Системы и разработка дополнительной по Заявке Заказчика, их корректная интеграция в действующие механизмы, настройка их полного взаимодействия с типовыми решениями Системы для реализации бизнес-процессов Заказчика, трудозатраты на которые не превышают 86 часов в сумме;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Настройка обмена данными с различными программами Заказчика штатным функционалом Системы, в том числе, работающими на платформах, отличных от платформы Итилиум, трудозатраты на которую не превышают 20 часов в сумме;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Внесение корректировок и обновление пользовательских инструкций по работе с Системой;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Обучение работе с функционалом действующей Системы, трудозатраты на которое не превышают 10 часов в сумме;</w:t>
      </w:r>
    </w:p>
    <w:p w:rsidR="008164BF" w:rsidRPr="008164BF" w:rsidRDefault="008164BF" w:rsidP="008164BF">
      <w:pPr>
        <w:numPr>
          <w:ilvl w:val="0"/>
          <w:numId w:val="12"/>
        </w:num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Прочие услуги, не указанные выше, связанные с функционированием Системы.</w:t>
      </w:r>
    </w:p>
    <w:p w:rsidR="008164BF" w:rsidRPr="008164BF" w:rsidRDefault="008164BF" w:rsidP="008164BF">
      <w:p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Состав работ, исключенных из объема сопровождения</w:t>
      </w:r>
    </w:p>
    <w:p w:rsidR="008164BF" w:rsidRPr="008164BF" w:rsidRDefault="008164BF" w:rsidP="008164BF">
      <w:pPr>
        <w:spacing w:after="120" w:line="240" w:lineRule="auto"/>
        <w:ind w:firstLine="36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Перечень работ и услуг, исключенных из объема сопровождения и сервисного обслуживания Системы. При необходимости данные услуги могут быть предоставлены по заявке Заказчика на отдельных условиях и по отдельным соглашениям.</w:t>
      </w:r>
    </w:p>
    <w:p w:rsidR="008164BF" w:rsidRPr="008164BF" w:rsidRDefault="008164BF" w:rsidP="008164BF">
      <w:pPr>
        <w:numPr>
          <w:ilvl w:val="0"/>
          <w:numId w:val="13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Оценка нового программного обеспечения или оборудования - Оценка или одобрение нового программного обеспечения или аппаратных средств для использования у Заказчика, включая системы, разработанные третьими лицами или самим Заказчиком;</w:t>
      </w:r>
    </w:p>
    <w:p w:rsidR="008164BF" w:rsidRPr="008164BF" w:rsidRDefault="008164BF" w:rsidP="008164BF">
      <w:pPr>
        <w:numPr>
          <w:ilvl w:val="0"/>
          <w:numId w:val="13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Приобретение нового программного обеспечения или оборудования - Приобретение нового программного обеспечения или аппаратных средств для использования у Заказчика или для применения у Исполнителя в интересах Заказчика. Всё программное обеспечение или аппаратные средства, необходимые Исполнителю для использования при поддержке Заказчика, являются ответственностью Заказчика и приобретаются за его счет;</w:t>
      </w:r>
    </w:p>
    <w:p w:rsidR="008164BF" w:rsidRPr="008164BF" w:rsidRDefault="008164BF" w:rsidP="008164BF">
      <w:pPr>
        <w:numPr>
          <w:ilvl w:val="0"/>
          <w:numId w:val="13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Лицензирование программного обеспечения - Исполнитель не поддерживает нелицензированное программное обеспечение и не 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предоставляет лицензии на программное обеспечение. Заказчик самостоятельно обеспечивает программное обеспечение необходимыми лицензиями и правами на использование;</w:t>
      </w:r>
    </w:p>
    <w:p w:rsidR="008164BF" w:rsidRPr="008164BF" w:rsidRDefault="008164BF" w:rsidP="008164BF">
      <w:pPr>
        <w:numPr>
          <w:ilvl w:val="0"/>
          <w:numId w:val="13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Обновление аппаратных средств - Заказчик обязан самостоятельно обновлять аппаратные средства серверной группы и поддерживать их в актуальном состоянии в соответствии с рекомендациями производителя;</w:t>
      </w:r>
    </w:p>
    <w:p w:rsidR="008164BF" w:rsidRPr="008164BF" w:rsidRDefault="008164BF" w:rsidP="008164BF">
      <w:pPr>
        <w:numPr>
          <w:ilvl w:val="0"/>
          <w:numId w:val="13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Помощь в использовании приложений - Советы или обучение настройкам и использованию приложений сторонних производителей, включая создание пользователей для этих приложений и т.п.;</w:t>
      </w:r>
    </w:p>
    <w:p w:rsidR="008164BF" w:rsidRPr="008164BF" w:rsidRDefault="008164BF" w:rsidP="008164BF">
      <w:pPr>
        <w:numPr>
          <w:ilvl w:val="0"/>
          <w:numId w:val="13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Помощь в поддержке среды прикладных программ – Советы по использованию, поддержке и обслуживанию среды прикладных программ, включая инструментальные средства разработки, прикладное программное обеспечение сервера и баз данных;</w:t>
      </w:r>
    </w:p>
    <w:p w:rsidR="008164BF" w:rsidRPr="008164BF" w:rsidRDefault="008164BF" w:rsidP="008164BF">
      <w:pPr>
        <w:numPr>
          <w:ilvl w:val="0"/>
          <w:numId w:val="13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Помощь при нестандартных решениях - Касается использования Заказчиком нестандартных аппаратных средств или программного обеспечения, не поддерживаемых производителями, что часто является причиной непредсказуемого и неожиданного поведения или ненадежной работы всей Системы;</w:t>
      </w:r>
    </w:p>
    <w:p w:rsidR="008164BF" w:rsidRPr="008164BF" w:rsidRDefault="008164BF" w:rsidP="008164BF">
      <w:pPr>
        <w:numPr>
          <w:ilvl w:val="0"/>
          <w:numId w:val="13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Адаптивное обслуживание – Любая деятельность, имеющая отношение к обновлению, модернизации или преобразованию программного обеспечения Системы и выходящая за рамки согласованных технических требований, вследствие установки у Заказчика новых 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версий среды, прикладного программного обеспечения, включая операционные системы, серверное и клиентское программное обеспечение, базы данных, сетевое оборудование и т.д.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numPr>
          <w:ilvl w:val="0"/>
          <w:numId w:val="10"/>
        </w:numPr>
        <w:spacing w:before="120" w:after="200" w:line="276" w:lineRule="auto"/>
        <w:ind w:left="851" w:hanging="567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Объект сопровождения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Функции Системы</w:t>
      </w:r>
    </w:p>
    <w:p w:rsidR="008164BF" w:rsidRPr="008164BF" w:rsidRDefault="008164BF" w:rsidP="008164BF">
      <w:pPr>
        <w:spacing w:after="120" w:line="240" w:lineRule="auto"/>
        <w:ind w:firstLine="360"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Информационная система управления ИТ-услугами предназначена для автоматизации процессов управления ИТ-услугами, в том числе управления ИТ-активами Заказчика, а также автоматизации следующих ИТ-процессов организации: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Управление каталогом и уровнем услуг;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Управление инцидентами и запросами на обслуживание;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lastRenderedPageBreak/>
        <w:t>Управление работами;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Управление проблемами;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Управление релизами;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Управление изменениями;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Управление конфигурациями;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Управление активами</w:t>
      </w:r>
    </w:p>
    <w:p w:rsidR="008164BF" w:rsidRPr="008164BF" w:rsidRDefault="008164BF" w:rsidP="008164BF">
      <w:pPr>
        <w:numPr>
          <w:ilvl w:val="0"/>
          <w:numId w:val="8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Управление персоналом.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Задачи Системы: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</w:t>
      </w:r>
      <w:r w:rsidRPr="008164BF">
        <w:rPr>
          <w:rFonts w:ascii="Tahoma" w:eastAsiaTheme="minorEastAsia" w:hAnsi="Tahoma" w:cs="Tahoma"/>
          <w:sz w:val="20"/>
          <w:szCs w:val="20"/>
        </w:rPr>
        <w:t>труктурирование деятельности ИТ-подразделений, представив ее в виде Каталога услуг;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Организация учета запросов, поступающих от пользователей, через единую точку контакта – службу «Service Desk»;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lastRenderedPageBreak/>
        <w:t>Получение аналитической отчетность о поступающих запросах пользователей в разрезе услуг;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Установка и контроль сроков обработки инцидентов и запросов, поступающих от пользователей;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Предоставление клиентам интерфейса и инструмента подачи, отслеживания и оценки качества обработки их запросов;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Поднятие удовлетворенности внутренних и внешних клиентов предоставляемыми услугами;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Корректная оценка возможности по оказанию услуг при заключении Соглашения об уровне услуг;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Учет трудозатрат сотрудников ИТ-подразделений в разрезе услуг/клиентов/сотрудников;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lastRenderedPageBreak/>
        <w:t>Выполнение и учет регламентных работ по обслуживанию ИТ-инфраструктуры;</w:t>
      </w:r>
    </w:p>
    <w:p w:rsidR="008164BF" w:rsidRPr="008164BF" w:rsidRDefault="008164BF" w:rsidP="008164BF">
      <w:pPr>
        <w:numPr>
          <w:ilvl w:val="0"/>
          <w:numId w:val="9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8164BF">
        <w:rPr>
          <w:rFonts w:ascii="Tahoma" w:eastAsiaTheme="minorEastAsia" w:hAnsi="Tahoma" w:cs="Tahoma"/>
          <w:sz w:val="20"/>
          <w:szCs w:val="20"/>
        </w:rPr>
        <w:t>Планирование и контролирование изменений в инфраструктуре, информационных системах и предоставляемых ИТ-услугах.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Архитектура Системы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Система ITSM базируется на кластере серверов «1С: Предприятие 8» в клиент-серверном варианте, реализованном на основе трехуровневой архитектуры «клиент-сервер». Такая архитектура разделяет всю работающую систему на основные части, определенным образом взаимодействующие между собой:</w:t>
      </w:r>
    </w:p>
    <w:p w:rsidR="008164BF" w:rsidRPr="008164BF" w:rsidRDefault="008164BF" w:rsidP="008164BF">
      <w:pPr>
        <w:numPr>
          <w:ilvl w:val="0"/>
          <w:numId w:val="11"/>
        </w:numPr>
        <w:spacing w:after="120" w:line="240" w:lineRule="auto"/>
        <w:contextualSpacing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Клиентское приложение;</w:t>
      </w:r>
    </w:p>
    <w:p w:rsidR="008164BF" w:rsidRPr="008164BF" w:rsidRDefault="008164BF" w:rsidP="008164BF">
      <w:pPr>
        <w:numPr>
          <w:ilvl w:val="0"/>
          <w:numId w:val="11"/>
        </w:numPr>
        <w:spacing w:after="120" w:line="240" w:lineRule="auto"/>
        <w:contextualSpacing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Веб-сервер;</w:t>
      </w:r>
    </w:p>
    <w:p w:rsidR="008164BF" w:rsidRPr="008164BF" w:rsidRDefault="008164BF" w:rsidP="008164BF">
      <w:pPr>
        <w:numPr>
          <w:ilvl w:val="0"/>
          <w:numId w:val="11"/>
        </w:numPr>
        <w:spacing w:after="120" w:line="240" w:lineRule="auto"/>
        <w:contextualSpacing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Кластер серверов «1С: Предприятие»;</w:t>
      </w:r>
    </w:p>
    <w:p w:rsidR="008164BF" w:rsidRPr="008164BF" w:rsidRDefault="008164BF" w:rsidP="008164BF">
      <w:pPr>
        <w:numPr>
          <w:ilvl w:val="0"/>
          <w:numId w:val="11"/>
        </w:numPr>
        <w:spacing w:after="120" w:line="240" w:lineRule="auto"/>
        <w:contextualSpacing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Кластер серверов баз данных.</w:t>
      </w:r>
    </w:p>
    <w:p w:rsidR="008164BF" w:rsidRPr="008164BF" w:rsidRDefault="008164BF" w:rsidP="008164BF">
      <w:pPr>
        <w:numPr>
          <w:ilvl w:val="0"/>
          <w:numId w:val="11"/>
        </w:numPr>
        <w:spacing w:after="120" w:line="240" w:lineRule="auto"/>
        <w:contextualSpacing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Веб-портал Итилиум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Сервером лицензий 1С и Итилиума выступает один из серверов приложения 1С предприятия.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Клиентом системы </w:t>
      </w:r>
      <w:r w:rsidRPr="008164BF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выступают браузеры и клиенты 1С, установленные на ПК пользователей системы.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i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Серверный состав системы ITSM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Система располагается в виртуальной инфраструктуре центра обработки данных заказчика. Виртуальные машины, используемые для нужд системы, сконфигурированы и размещены на хостах кластеров, в ресурс-пулах и хранилищах, предоставленных заказчиком.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Все виртуальные машины, используемые для функционирования системы, располагаются в подсетях, обеспечивающих взаимодействие виртуальных машин и функциональных подсистем между собой и служебными сервисами заказчика.</w:t>
      </w:r>
    </w:p>
    <w:p w:rsidR="008164BF" w:rsidRPr="008164BF" w:rsidRDefault="008164BF" w:rsidP="008164BF">
      <w:pPr>
        <w:spacing w:before="240" w:after="200" w:line="276" w:lineRule="auto"/>
        <w:ind w:left="851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tbl>
      <w:tblPr>
        <w:tblW w:w="3262" w:type="pct"/>
        <w:tblInd w:w="1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3462"/>
      </w:tblGrid>
      <w:tr w:rsidR="008164BF" w:rsidRPr="008164BF" w:rsidTr="000E33A6">
        <w:trPr>
          <w:trHeight w:val="300"/>
        </w:trPr>
        <w:tc>
          <w:tcPr>
            <w:tcW w:w="2323" w:type="pct"/>
            <w:noWrap/>
            <w:vAlign w:val="bottom"/>
            <w:hideMark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677" w:type="pct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Роль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dmz-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itsm</w:t>
            </w:r>
          </w:p>
        </w:tc>
        <w:tc>
          <w:tcPr>
            <w:tcW w:w="2677" w:type="pct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Публикация продуктивного сервера для внешнего веб-сервиса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msk-itsm-app02</w:t>
            </w:r>
          </w:p>
        </w:tc>
        <w:tc>
          <w:tcPr>
            <w:tcW w:w="2677" w:type="pct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Сервер 1С Предприятия, сервер 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IIS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сервер лицензирования Итилиум и 1С.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msk-itsm-db01</w:t>
            </w:r>
          </w:p>
        </w:tc>
        <w:tc>
          <w:tcPr>
            <w:tcW w:w="2677" w:type="pct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Сервер БД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test17</w:t>
            </w:r>
          </w:p>
        </w:tc>
        <w:tc>
          <w:tcPr>
            <w:tcW w:w="2677" w:type="pct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Тестовая среда. Тестовый сервер Приложений 1С для ИТСМ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77" w:type="pct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Тестовая среда. ИТСМ тест sql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msk-es04-app97</w:t>
            </w:r>
          </w:p>
        </w:tc>
        <w:tc>
          <w:tcPr>
            <w:tcW w:w="2677" w:type="pct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Продуктивная среда bitrix - prod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msk-es04-app96</w:t>
            </w:r>
          </w:p>
        </w:tc>
        <w:tc>
          <w:tcPr>
            <w:tcW w:w="2677" w:type="pct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Тестовая среда bitrix - 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msk-itsm-web01</w:t>
            </w:r>
          </w:p>
        </w:tc>
        <w:tc>
          <w:tcPr>
            <w:tcW w:w="2677" w:type="pct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Форум</w:t>
            </w:r>
          </w:p>
        </w:tc>
      </w:tr>
      <w:tr w:rsidR="008164BF" w:rsidRPr="008164BF" w:rsidTr="000E33A6">
        <w:trPr>
          <w:trHeight w:val="300"/>
        </w:trPr>
        <w:tc>
          <w:tcPr>
            <w:tcW w:w="2323" w:type="pct"/>
            <w:noWrap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msk-es04-ts19</w:t>
            </w:r>
          </w:p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lastRenderedPageBreak/>
              <w:t>msk-es04-ts20</w:t>
            </w:r>
          </w:p>
        </w:tc>
        <w:tc>
          <w:tcPr>
            <w:tcW w:w="2677" w:type="pct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Продуктивная среда терминалы коллекции ITSM</w:t>
            </w:r>
          </w:p>
        </w:tc>
      </w:tr>
    </w:tbl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Функциональные подсистемы ITSM взаимодействуют с почтовым сервисом заказчика в качестве почтового клиента по протоколам imap или pop для получения почты и smtp - для отправки. Взаимодействие с доменом осуществляется по протоколу LDAP для прозрачной авторизации в системе и синхронизации справочников бизнес-пользователей и исполнителей</w:t>
      </w: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Режим функционирования Системы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Система функционирует в режиме многопользовательского доступа 24 часа в день, 7 дней в неделю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numPr>
          <w:ilvl w:val="0"/>
          <w:numId w:val="10"/>
        </w:numPr>
        <w:spacing w:before="12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lastRenderedPageBreak/>
        <w:t>Контактные лица</w:t>
      </w:r>
    </w:p>
    <w:p w:rsidR="008164BF" w:rsidRPr="008164BF" w:rsidRDefault="008164BF" w:rsidP="008164BF">
      <w:pPr>
        <w:spacing w:after="120" w:line="240" w:lineRule="auto"/>
        <w:ind w:firstLine="426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Перечень контактных лиц определяется в двустороннем порядке и оформляется после заключения договора на техническую поддержку. В случае замены контактных лиц сторона, осуществившая такую замену, должна уведомить противоположную сторону любым доступным способом в течение 2 рабочих дней.</w:t>
      </w:r>
    </w:p>
    <w:p w:rsidR="008164BF" w:rsidRPr="008164BF" w:rsidRDefault="008164BF" w:rsidP="008164BF">
      <w:pPr>
        <w:tabs>
          <w:tab w:val="left" w:pos="0"/>
        </w:tabs>
        <w:spacing w:after="200" w:line="276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tabs>
          <w:tab w:val="left" w:pos="0"/>
        </w:tabs>
        <w:spacing w:after="200" w:line="276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tabs>
          <w:tab w:val="left" w:pos="0"/>
        </w:tabs>
        <w:spacing w:after="200" w:line="276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tabs>
          <w:tab w:val="left" w:pos="0"/>
        </w:tabs>
        <w:spacing w:after="200" w:line="276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tabs>
          <w:tab w:val="left" w:pos="0"/>
        </w:tabs>
        <w:spacing w:after="200" w:line="276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tabs>
          <w:tab w:val="left" w:pos="0"/>
        </w:tabs>
        <w:spacing w:after="200" w:line="276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tabs>
          <w:tab w:val="left" w:pos="0"/>
        </w:tabs>
        <w:spacing w:after="200" w:line="276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tabs>
          <w:tab w:val="left" w:pos="0"/>
        </w:tabs>
        <w:spacing w:after="200" w:line="276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spacing w:after="12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Приложение №1</w:t>
      </w:r>
    </w:p>
    <w:p w:rsidR="008164BF" w:rsidRPr="008164BF" w:rsidRDefault="008164BF" w:rsidP="008164BF">
      <w:pPr>
        <w:spacing w:after="12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к техническому заданию</w:t>
      </w:r>
    </w:p>
    <w:p w:rsidR="008164BF" w:rsidRPr="008164BF" w:rsidRDefault="008164BF" w:rsidP="008164BF">
      <w:pPr>
        <w:spacing w:after="12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на оказание услуг по технической поддержке</w:t>
      </w:r>
    </w:p>
    <w:p w:rsidR="008164BF" w:rsidRPr="008164BF" w:rsidRDefault="008164BF" w:rsidP="008164BF">
      <w:pPr>
        <w:spacing w:after="12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системы ITSM на платформе Итилиум</w:t>
      </w:r>
      <w:r w:rsidRPr="008164BF" w:rsidDel="00F857A2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keepNext/>
        <w:spacing w:before="240" w:after="240" w:line="240" w:lineRule="auto"/>
        <w:jc w:val="center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</w:pPr>
      <w:r w:rsidRPr="008164BF"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  <w:t>Правила предоставления технической поддержки</w:t>
      </w:r>
    </w:p>
    <w:p w:rsidR="008164BF" w:rsidRPr="008164BF" w:rsidRDefault="008164BF" w:rsidP="008164BF">
      <w:pPr>
        <w:numPr>
          <w:ilvl w:val="0"/>
          <w:numId w:val="15"/>
        </w:numPr>
        <w:spacing w:before="120" w:after="200" w:line="276" w:lineRule="auto"/>
        <w:ind w:left="3402" w:hanging="283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Термины</w:t>
      </w:r>
    </w:p>
    <w:p w:rsidR="008164BF" w:rsidRPr="008164BF" w:rsidRDefault="008164BF" w:rsidP="008164BF">
      <w:p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Инцидент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– несоответствие фактической работы Системы, предусмотренному в документации, появление окна с сообщением об ошибке, снижение быстродействия или зависание;</w:t>
      </w:r>
    </w:p>
    <w:p w:rsidR="008164BF" w:rsidRPr="008164BF" w:rsidRDefault="008164BF" w:rsidP="008164BF">
      <w:p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t>Запрос на изменение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- замечание или предложение, поступившее от Пользователя по работе системы, связанное, в том числе, с изменением (расширением) функциональности системы;</w:t>
      </w:r>
    </w:p>
    <w:p w:rsidR="008164BF" w:rsidRPr="008164BF" w:rsidRDefault="008164BF" w:rsidP="008164BF">
      <w:p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t>Запрос на обслуживание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– изменение содержимого системных справочников, распределение ролей, настройка групп пользователей, правил обработки заявок и нарядов и иные задачи, связанные с настройкой содержимого Системы;</w:t>
      </w:r>
    </w:p>
    <w:p w:rsidR="008164BF" w:rsidRPr="008164BF" w:rsidRDefault="008164BF" w:rsidP="008164BF">
      <w:p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t>Консультация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(запрос информации) – проведение пояснения Пользователю по работе в Системе, уточнение каких-либо непонятных моментов;</w:t>
      </w:r>
    </w:p>
    <w:p w:rsidR="008164BF" w:rsidRPr="008164BF" w:rsidRDefault="008164BF" w:rsidP="008164BF">
      <w:p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Приоритет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– совокупная оценка степени влияния инцидента на бизнес-процессы Заказчика. </w:t>
      </w:r>
    </w:p>
    <w:p w:rsidR="008164BF" w:rsidRPr="008164BF" w:rsidRDefault="008164BF" w:rsidP="008164BF">
      <w:pPr>
        <w:spacing w:after="120" w:line="240" w:lineRule="auto"/>
        <w:ind w:left="426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Срок реакции 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– это время, в течение которого Исполнитель обязуется приступить к работе над проблемой, обозначенной Заказчиком, способом, предусмотренным в этом соглашении. </w:t>
      </w:r>
    </w:p>
    <w:p w:rsidR="008164BF" w:rsidRPr="008164BF" w:rsidRDefault="008164BF" w:rsidP="008164BF">
      <w:pPr>
        <w:spacing w:after="0" w:line="240" w:lineRule="auto"/>
        <w:ind w:left="425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t>Обходное решение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-  метод, позволяющий избежать инцидента или проблемы с помощью временного решения или иным способом, устраняющим зависимость Потребителя от проблемных аспектов Системы. </w:t>
      </w:r>
    </w:p>
    <w:p w:rsidR="008164BF" w:rsidRPr="008164BF" w:rsidRDefault="008164BF" w:rsidP="008164BF">
      <w:pPr>
        <w:spacing w:after="120" w:line="240" w:lineRule="auto"/>
        <w:ind w:left="426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t>Эскалация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– процедура передачи запроса на более высокий уровень поддержки в случае, если его не удалось разрешить на текущем уровне.</w:t>
      </w:r>
    </w:p>
    <w:p w:rsidR="008164BF" w:rsidRPr="008164BF" w:rsidRDefault="008164BF" w:rsidP="008164BF">
      <w:pPr>
        <w:spacing w:before="120" w:after="200" w:line="276" w:lineRule="auto"/>
        <w:ind w:left="3402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2" w:name="_Toc207425754"/>
      <w:bookmarkStart w:id="3" w:name="_Toc207429794"/>
    </w:p>
    <w:p w:rsidR="008164BF" w:rsidRPr="008164BF" w:rsidRDefault="008164BF" w:rsidP="008164BF">
      <w:pPr>
        <w:numPr>
          <w:ilvl w:val="0"/>
          <w:numId w:val="15"/>
        </w:numPr>
        <w:spacing w:before="120" w:after="200" w:line="276" w:lineRule="auto"/>
        <w:ind w:left="3402" w:hanging="283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4" w:name="_Toc207429797"/>
      <w:bookmarkStart w:id="5" w:name="_Toc207781768"/>
      <w:bookmarkEnd w:id="2"/>
      <w:bookmarkEnd w:id="3"/>
      <w:r w:rsidRPr="008164BF">
        <w:rPr>
          <w:rFonts w:ascii="Tahoma" w:eastAsiaTheme="minorEastAsia" w:hAnsi="Tahoma" w:cs="Tahoma"/>
          <w:b/>
          <w:sz w:val="20"/>
          <w:szCs w:val="20"/>
        </w:rPr>
        <w:lastRenderedPageBreak/>
        <w:t>Порядок предоставления услуг</w:t>
      </w:r>
      <w:bookmarkEnd w:id="4"/>
      <w:bookmarkEnd w:id="5"/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Для получения услуг по Договору Заказчик направляет заявки в Систему </w:t>
      </w:r>
      <w:r w:rsidRPr="008164BF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. На каждый вопрос Пользователя или на возникающую ошибку в системе оформляется одно Обращение.  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невозможности регистрации и/или обработки Обращения в Системе </w:t>
      </w:r>
      <w:r w:rsidRPr="008164BF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, Заказчик подает Заявку в Сервис Деск Исполнителя по электронной почте или по телефону. 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Обращение составляется на любое логически обособленное и ясно сформулированное требование Пользователя (специалиста Заказчика) на консультирование, предоставление услуг, поддержку и обслуживание, любое изменение или разрешение возникшей проблемы (ошибки) при работе с Системой.</w:t>
      </w:r>
    </w:p>
    <w:p w:rsidR="008164BF" w:rsidRPr="008164BF" w:rsidRDefault="008164BF" w:rsidP="008164BF">
      <w:pPr>
        <w:spacing w:after="120" w:line="240" w:lineRule="auto"/>
        <w:ind w:firstLine="36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Заявка может быть отправлена Пользователем в электронном виде на адрес Системы либо заведена самостоятельно, через интерфейс Системы. Порядок и правила оформления Заявок указываются в Правилах предоставления технической поддержки Системы.</w:t>
      </w:r>
    </w:p>
    <w:p w:rsidR="008164BF" w:rsidRPr="008164BF" w:rsidRDefault="008164BF" w:rsidP="008164BF">
      <w:pPr>
        <w:spacing w:after="120" w:line="240" w:lineRule="auto"/>
        <w:ind w:firstLine="36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Приоритет заявки указывается Заказчиком при подаче заявки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8340"/>
      </w:tblGrid>
      <w:tr w:rsidR="008164BF" w:rsidRPr="008164BF" w:rsidTr="000E33A6">
        <w:trPr>
          <w:trHeight w:val="758"/>
        </w:trPr>
        <w:tc>
          <w:tcPr>
            <w:tcW w:w="1413" w:type="dxa"/>
            <w:shd w:val="clear" w:color="auto" w:fill="CCCCCC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Приоритет</w:t>
            </w:r>
          </w:p>
        </w:tc>
        <w:tc>
          <w:tcPr>
            <w:tcW w:w="5812" w:type="dxa"/>
            <w:shd w:val="clear" w:color="auto" w:fill="CCCCCC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Описание проблемы</w:t>
            </w:r>
          </w:p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 действия Исполнителя по Заявке</w:t>
            </w:r>
          </w:p>
        </w:tc>
      </w:tr>
      <w:tr w:rsidR="008164BF" w:rsidRPr="008164BF" w:rsidTr="000E33A6">
        <w:trPr>
          <w:trHeight w:val="811"/>
        </w:trPr>
        <w:tc>
          <w:tcPr>
            <w:tcW w:w="1413" w:type="dxa"/>
            <w:vAlign w:val="center"/>
          </w:tcPr>
          <w:p w:rsidR="008164BF" w:rsidRPr="008164BF" w:rsidRDefault="008164BF" w:rsidP="008164BF">
            <w:pPr>
              <w:spacing w:after="12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Критичный</w:t>
            </w:r>
          </w:p>
        </w:tc>
        <w:tc>
          <w:tcPr>
            <w:tcW w:w="5812" w:type="dxa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Заявка требует немедленной реакции и имеет критичное влияние на работоспособность приложения и выполнение бизнес-процессов. Приложение неработоспособно у пользователя, либо невозможно выполнение бизнес-процессов пользователем ни при каких условиях. Ситуация немедленно доводится до руководства Исполнителя. Проблема начинает решаться немед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ленно всеми возмож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ны</w:t>
            </w: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ми способами и ресурсами Исполнителя до ее полного разрешения.</w:t>
            </w:r>
          </w:p>
        </w:tc>
      </w:tr>
      <w:tr w:rsidR="008164BF" w:rsidRPr="008164BF" w:rsidTr="000E33A6">
        <w:trPr>
          <w:trHeight w:val="758"/>
        </w:trPr>
        <w:tc>
          <w:tcPr>
            <w:tcW w:w="1413" w:type="dxa"/>
            <w:vAlign w:val="center"/>
          </w:tcPr>
          <w:p w:rsidR="008164BF" w:rsidRPr="008164BF" w:rsidRDefault="008164BF" w:rsidP="008164BF">
            <w:pPr>
              <w:spacing w:after="12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5812" w:type="dxa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Имеет высокое влияние на работоспособность приложения и выполнение бизнес-процессов. Выполнение бизнес-процессов возможно каким-либо другим путем. Руководство Исполнителя ставится в известность о возникшей проблеме.</w:t>
            </w:r>
          </w:p>
        </w:tc>
      </w:tr>
      <w:tr w:rsidR="008164BF" w:rsidRPr="008164BF" w:rsidTr="000E33A6">
        <w:trPr>
          <w:cantSplit/>
          <w:trHeight w:val="1206"/>
        </w:trPr>
        <w:tc>
          <w:tcPr>
            <w:tcW w:w="1413" w:type="dxa"/>
            <w:vAlign w:val="center"/>
          </w:tcPr>
          <w:p w:rsidR="008164BF" w:rsidRPr="008164BF" w:rsidRDefault="008164BF" w:rsidP="008164BF">
            <w:pPr>
              <w:spacing w:after="12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5812" w:type="dxa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 оказывает большого влияния на работоспособность приложения, минимально задействует функциональность основных бизнес-процессов.</w:t>
            </w:r>
          </w:p>
        </w:tc>
      </w:tr>
      <w:tr w:rsidR="008164BF" w:rsidRPr="008164BF" w:rsidTr="000E33A6">
        <w:trPr>
          <w:trHeight w:val="771"/>
        </w:trPr>
        <w:tc>
          <w:tcPr>
            <w:tcW w:w="1413" w:type="dxa"/>
            <w:vAlign w:val="center"/>
          </w:tcPr>
          <w:p w:rsidR="008164BF" w:rsidRPr="008164BF" w:rsidRDefault="008164BF" w:rsidP="008164BF">
            <w:pPr>
              <w:spacing w:after="12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Низкий</w:t>
            </w:r>
          </w:p>
        </w:tc>
        <w:tc>
          <w:tcPr>
            <w:tcW w:w="5812" w:type="dxa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Имеет минимальное влияние на работоспособность приложения, не задействует работоспособность основных бизнес-процессов.</w:t>
            </w:r>
          </w:p>
        </w:tc>
      </w:tr>
    </w:tbl>
    <w:p w:rsidR="008164BF" w:rsidRPr="008164BF" w:rsidRDefault="008164BF" w:rsidP="008164BF">
      <w:pPr>
        <w:spacing w:after="120" w:line="240" w:lineRule="auto"/>
        <w:ind w:firstLine="360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 xml:space="preserve">Обработка запросов на обслуживание </w:t>
      </w:r>
    </w:p>
    <w:p w:rsidR="008164BF" w:rsidRPr="008164BF" w:rsidRDefault="008164BF" w:rsidP="008164BF">
      <w:pPr>
        <w:spacing w:after="120" w:line="240" w:lineRule="auto"/>
        <w:ind w:left="1068" w:firstLine="252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При невозможности полностью решить проблему, Исполнитель обязуется предоставить временное или постоянное обходное решение за указанный срок.  </w:t>
      </w:r>
    </w:p>
    <w:p w:rsidR="008164BF" w:rsidRPr="008164BF" w:rsidRDefault="008164BF" w:rsidP="008164BF">
      <w:pPr>
        <w:spacing w:after="120" w:line="240" w:lineRule="auto"/>
        <w:ind w:left="1068" w:firstLine="252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В случае запроса Исполнителем дополнительной информации у Заказчика или необходимости выполнения Заказчиком промежуточных рекомендаций Исполнителя, Инициатор заявки пересылает Исполнителю информацию и результаты выполнения рекомендаций в течение 15 мин с момента отправки запроса. Плано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вый срок решения автоматически увеличивается на время получения ответа от инициатора по запрошенной дополнительной информации. </w:t>
      </w:r>
    </w:p>
    <w:p w:rsidR="008164BF" w:rsidRPr="008164BF" w:rsidRDefault="008164BF" w:rsidP="008164BF">
      <w:pPr>
        <w:spacing w:after="120" w:line="240" w:lineRule="auto"/>
        <w:ind w:left="1068" w:firstLine="252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В процессе разрешения инцидентов могут быть выявлены ошибки в ПО Системы. Все обнаруженные в процессе оказания поддержки ошибки передаются в компанию разработчика Системы и исправляются разработчиком в рамках планируемых внутренних работ.</w:t>
      </w:r>
    </w:p>
    <w:p w:rsidR="008164BF" w:rsidRPr="008164BF" w:rsidRDefault="008164BF" w:rsidP="008164BF">
      <w:pPr>
        <w:spacing w:after="120" w:line="240" w:lineRule="auto"/>
        <w:ind w:left="1068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numPr>
          <w:ilvl w:val="1"/>
          <w:numId w:val="10"/>
        </w:numPr>
        <w:spacing w:before="240" w:after="200" w:line="276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Обработка запросов на изменение</w:t>
      </w:r>
    </w:p>
    <w:p w:rsidR="008164BF" w:rsidRPr="008164BF" w:rsidRDefault="008164BF" w:rsidP="008164BF">
      <w:pPr>
        <w:spacing w:after="120" w:line="240" w:lineRule="auto"/>
        <w:ind w:left="1068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По каждой заявке на доработку системы принимается решение о классификации уровня сложности доработки. Исполнитель выполняет этапы работ в соответствии с принятым уровнем сложности доработки:</w:t>
      </w:r>
    </w:p>
    <w:p w:rsidR="008164BF" w:rsidRPr="008164BF" w:rsidRDefault="008164BF" w:rsidP="008164BF">
      <w:pPr>
        <w:spacing w:after="120" w:line="240" w:lineRule="auto"/>
        <w:ind w:left="1068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spacing w:after="120" w:line="240" w:lineRule="auto"/>
        <w:ind w:left="1068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Простые доработки 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- незначительные доработки, не требующие формализации требований.</w:t>
      </w:r>
    </w:p>
    <w:p w:rsidR="008164BF" w:rsidRPr="008164BF" w:rsidRDefault="008164BF" w:rsidP="008164BF">
      <w:pPr>
        <w:spacing w:after="120" w:line="240" w:lineRule="auto"/>
        <w:ind w:left="1068" w:firstLine="372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Допустимые этапы работ:</w:t>
      </w:r>
    </w:p>
    <w:p w:rsidR="008164BF" w:rsidRPr="008164BF" w:rsidRDefault="008164BF" w:rsidP="008164BF">
      <w:pPr>
        <w:numPr>
          <w:ilvl w:val="0"/>
          <w:numId w:val="16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Согласование трудоемкости и сроков;</w:t>
      </w:r>
    </w:p>
    <w:p w:rsidR="008164BF" w:rsidRPr="008164BF" w:rsidRDefault="008164BF" w:rsidP="008164BF">
      <w:pPr>
        <w:numPr>
          <w:ilvl w:val="0"/>
          <w:numId w:val="16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Выполнение работ;</w:t>
      </w:r>
    </w:p>
    <w:p w:rsidR="008164BF" w:rsidRPr="008164BF" w:rsidRDefault="008164BF" w:rsidP="008164BF">
      <w:pPr>
        <w:numPr>
          <w:ilvl w:val="0"/>
          <w:numId w:val="16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Сдача-приемка;</w:t>
      </w:r>
    </w:p>
    <w:p w:rsidR="008164BF" w:rsidRPr="008164BF" w:rsidRDefault="008164BF" w:rsidP="008164BF">
      <w:pPr>
        <w:numPr>
          <w:ilvl w:val="0"/>
          <w:numId w:val="16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Завершение обработки заявки. </w:t>
      </w:r>
    </w:p>
    <w:p w:rsidR="008164BF" w:rsidRPr="008164BF" w:rsidRDefault="008164BF" w:rsidP="008164BF">
      <w:pPr>
        <w:spacing w:after="120" w:line="240" w:lineRule="auto"/>
        <w:ind w:left="1068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spacing w:after="120" w:line="240" w:lineRule="auto"/>
        <w:ind w:left="1068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Сложные доработки</w:t>
      </w: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- значительные доработки, требующие формализации требований.</w:t>
      </w:r>
    </w:p>
    <w:p w:rsidR="008164BF" w:rsidRPr="008164BF" w:rsidRDefault="008164BF" w:rsidP="008164BF">
      <w:pPr>
        <w:spacing w:after="120" w:line="240" w:lineRule="auto"/>
        <w:ind w:left="1068" w:firstLine="372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Допустимые этапы работ:</w:t>
      </w:r>
    </w:p>
    <w:p w:rsidR="008164BF" w:rsidRPr="008164BF" w:rsidRDefault="008164BF" w:rsidP="008164BF">
      <w:pPr>
        <w:numPr>
          <w:ilvl w:val="0"/>
          <w:numId w:val="17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Формализация требований (формирование Листа требований, написание Технического задания);</w:t>
      </w:r>
    </w:p>
    <w:p w:rsidR="008164BF" w:rsidRPr="008164BF" w:rsidRDefault="008164BF" w:rsidP="008164BF">
      <w:pPr>
        <w:numPr>
          <w:ilvl w:val="0"/>
          <w:numId w:val="17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Согласование функциональности;</w:t>
      </w:r>
    </w:p>
    <w:p w:rsidR="008164BF" w:rsidRPr="008164BF" w:rsidRDefault="008164BF" w:rsidP="008164BF">
      <w:pPr>
        <w:numPr>
          <w:ilvl w:val="0"/>
          <w:numId w:val="17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Оценка трудоемкости;</w:t>
      </w:r>
    </w:p>
    <w:p w:rsidR="008164BF" w:rsidRPr="008164BF" w:rsidRDefault="008164BF" w:rsidP="008164BF">
      <w:pPr>
        <w:numPr>
          <w:ilvl w:val="0"/>
          <w:numId w:val="17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Согласование трудоемкости и сроков;</w:t>
      </w:r>
    </w:p>
    <w:p w:rsidR="008164BF" w:rsidRPr="008164BF" w:rsidRDefault="008164BF" w:rsidP="008164BF">
      <w:pPr>
        <w:numPr>
          <w:ilvl w:val="0"/>
          <w:numId w:val="17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Выполнение работ;</w:t>
      </w:r>
    </w:p>
    <w:p w:rsidR="008164BF" w:rsidRPr="008164BF" w:rsidRDefault="008164BF" w:rsidP="008164BF">
      <w:pPr>
        <w:numPr>
          <w:ilvl w:val="0"/>
          <w:numId w:val="17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Сдача-приемка;</w:t>
      </w:r>
    </w:p>
    <w:p w:rsidR="008164BF" w:rsidRPr="008164BF" w:rsidRDefault="008164BF" w:rsidP="008164BF">
      <w:pPr>
        <w:numPr>
          <w:ilvl w:val="0"/>
          <w:numId w:val="17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Заполнение протокола тестовых испытаний;</w:t>
      </w:r>
    </w:p>
    <w:p w:rsidR="008164BF" w:rsidRPr="008164BF" w:rsidRDefault="008164BF" w:rsidP="008164BF">
      <w:pPr>
        <w:numPr>
          <w:ilvl w:val="0"/>
          <w:numId w:val="17"/>
        </w:numPr>
        <w:spacing w:after="12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Завершение обработки заявки. </w:t>
      </w:r>
    </w:p>
    <w:p w:rsidR="008164BF" w:rsidRPr="008164BF" w:rsidRDefault="008164BF" w:rsidP="008164BF">
      <w:pPr>
        <w:spacing w:after="120" w:line="240" w:lineRule="auto"/>
        <w:ind w:left="1068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Длительность оказания услуг по заявке на доработку зависит от сложности задачи, поэтому устанавливается по соглашению сторон в каждом конкретном случае. </w:t>
      </w:r>
    </w:p>
    <w:p w:rsidR="008164BF" w:rsidRPr="008164BF" w:rsidRDefault="008164BF" w:rsidP="008164BF">
      <w:pPr>
        <w:spacing w:after="120" w:line="240" w:lineRule="auto"/>
        <w:ind w:firstLine="36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 xml:space="preserve">Требования к порядку и способам внесения изменений в конфигурацию Системы определяются Стандартами разработки, принятыми у Исполнителя. </w:t>
      </w:r>
    </w:p>
    <w:p w:rsidR="008164BF" w:rsidRPr="008164BF" w:rsidRDefault="008164BF" w:rsidP="008164BF">
      <w:pPr>
        <w:spacing w:before="120" w:after="200" w:line="276" w:lineRule="auto"/>
        <w:ind w:left="3402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p w:rsidR="008164BF" w:rsidRPr="008164BF" w:rsidRDefault="008164BF" w:rsidP="008164BF">
      <w:pPr>
        <w:numPr>
          <w:ilvl w:val="0"/>
          <w:numId w:val="15"/>
        </w:numPr>
        <w:spacing w:before="120" w:after="200" w:line="276" w:lineRule="auto"/>
        <w:ind w:left="3119" w:hanging="284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6" w:name="_Toc207429798"/>
      <w:bookmarkStart w:id="7" w:name="_Toc207781769"/>
      <w:r w:rsidRPr="008164BF">
        <w:rPr>
          <w:rFonts w:ascii="Tahoma" w:eastAsiaTheme="minorEastAsia" w:hAnsi="Tahoma" w:cs="Tahoma"/>
          <w:b/>
          <w:sz w:val="20"/>
          <w:szCs w:val="20"/>
        </w:rPr>
        <w:t>Время предоставления услуг</w:t>
      </w:r>
      <w:bookmarkEnd w:id="6"/>
      <w:bookmarkEnd w:id="7"/>
      <w:r w:rsidRPr="008164BF">
        <w:rPr>
          <w:rFonts w:ascii="Tahoma" w:eastAsiaTheme="minorEastAsia" w:hAnsi="Tahoma" w:cs="Tahoma"/>
          <w:b/>
          <w:sz w:val="20"/>
          <w:szCs w:val="20"/>
        </w:rPr>
        <w:t xml:space="preserve"> при штатной работе Системы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1. По рабочим дням (понедельник - пятница) с 07:00 до 16:00 часов (время московское)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2. В праздничные, выходные дни по отдельному соглашению</w:t>
      </w:r>
    </w:p>
    <w:p w:rsidR="008164BF" w:rsidRPr="008164BF" w:rsidRDefault="008164BF" w:rsidP="008164BF">
      <w:pPr>
        <w:spacing w:before="120" w:after="200" w:line="276" w:lineRule="auto"/>
        <w:ind w:left="3402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p w:rsidR="008164BF" w:rsidRPr="008164BF" w:rsidRDefault="008164BF" w:rsidP="008164BF">
      <w:pPr>
        <w:numPr>
          <w:ilvl w:val="0"/>
          <w:numId w:val="15"/>
        </w:numPr>
        <w:spacing w:before="120" w:after="200" w:line="276" w:lineRule="auto"/>
        <w:ind w:left="3402" w:hanging="283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8" w:name="_Toc207429799"/>
      <w:bookmarkStart w:id="9" w:name="_Toc207781770"/>
      <w:r w:rsidRPr="008164BF">
        <w:rPr>
          <w:rFonts w:ascii="Tahoma" w:eastAsiaTheme="minorEastAsia" w:hAnsi="Tahoma" w:cs="Tahoma"/>
          <w:b/>
          <w:sz w:val="20"/>
          <w:szCs w:val="20"/>
        </w:rPr>
        <w:t>Доступность, оперативность сервиса</w:t>
      </w:r>
      <w:bookmarkEnd w:id="8"/>
      <w:bookmarkEnd w:id="9"/>
    </w:p>
    <w:p w:rsidR="008164BF" w:rsidRPr="008164BF" w:rsidRDefault="008164BF" w:rsidP="008164BF">
      <w:pPr>
        <w:spacing w:after="120" w:line="240" w:lineRule="auto"/>
        <w:ind w:firstLine="567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Исполнитель в рамках предоставления услуг по Договору будет прилагать все усилия для разрешения возникающих у Заказчика проблем в пределах, установленных в данном разделе норм с учетом времени предоставления услуг согласно п. 3.</w:t>
      </w:r>
    </w:p>
    <w:p w:rsidR="008164BF" w:rsidRPr="008164BF" w:rsidRDefault="008164BF" w:rsidP="008164BF">
      <w:pPr>
        <w:spacing w:after="120" w:line="240" w:lineRule="auto"/>
        <w:ind w:firstLine="567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Порядок обработки Заявок определяется их приоритетностью. Исполнитель рассматривает Заявки по мере их поступления. В случае если в момент поступления Заявки Исполнителем выполняются работы над другой Заявкой с таким же приоритетом, то новая Заявка ставится в очередь. При необходимости Исполнитель сообщает Заказчику ориентировочный срок рассмотрения Заявки.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highlight w:val="yellow"/>
          <w:lang w:eastAsia="ru-RU"/>
        </w:rPr>
      </w:pPr>
      <w:r w:rsidRPr="008164BF">
        <w:rPr>
          <w:rFonts w:ascii="Tahoma" w:eastAsiaTheme="minorEastAsia" w:hAnsi="Tahoma" w:cs="Tahoma"/>
          <w:b/>
          <w:sz w:val="20"/>
          <w:szCs w:val="20"/>
        </w:rPr>
        <w:t>4.1 Состав услуг, оказываемых Исполнителем в рамках взаимодействия через Итилиум</w:t>
      </w:r>
      <w:r w:rsidRPr="008164BF" w:rsidDel="006132CC">
        <w:rPr>
          <w:rFonts w:ascii="Tahoma" w:eastAsiaTheme="minorEastAsia" w:hAnsi="Tahoma" w:cs="Tahoma"/>
          <w:b/>
          <w:sz w:val="20"/>
          <w:szCs w:val="20"/>
          <w:highlight w:val="yellow"/>
        </w:rPr>
        <w:t xml:space="preserve"> </w:t>
      </w:r>
    </w:p>
    <w:tbl>
      <w:tblPr>
        <w:tblW w:w="10632" w:type="dxa"/>
        <w:tblInd w:w="-43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3686"/>
        <w:gridCol w:w="425"/>
        <w:gridCol w:w="1276"/>
        <w:gridCol w:w="425"/>
        <w:gridCol w:w="1418"/>
        <w:gridCol w:w="425"/>
        <w:gridCol w:w="1276"/>
        <w:gridCol w:w="369"/>
        <w:gridCol w:w="1332"/>
      </w:tblGrid>
      <w:tr w:rsidR="008164BF" w:rsidRPr="008164BF" w:rsidTr="000E33A6">
        <w:trPr>
          <w:trHeight w:val="525"/>
        </w:trPr>
        <w:tc>
          <w:tcPr>
            <w:tcW w:w="4111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noWrap/>
            <w:vAlign w:val="center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Поддержка бизнес-приложений (2-3 Линия)</w:t>
            </w:r>
          </w:p>
        </w:tc>
        <w:tc>
          <w:tcPr>
            <w:tcW w:w="1701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 Приоритет – Критический</w:t>
            </w:r>
          </w:p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843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 Приоритет - Высокий</w:t>
            </w:r>
          </w:p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701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 Приоритет - Средний</w:t>
            </w:r>
          </w:p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vAlign w:val="center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 Приоритет - Низкий (рабочий час)</w:t>
            </w:r>
          </w:p>
        </w:tc>
      </w:tr>
      <w:tr w:rsidR="008164BF" w:rsidRPr="008164BF" w:rsidTr="000E33A6">
        <w:trPr>
          <w:trHeight w:val="300"/>
        </w:trPr>
        <w:tc>
          <w:tcPr>
            <w:tcW w:w="3686" w:type="dxa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Консультирование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shd w:val="clear" w:color="auto" w:fill="EDEDED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shd w:val="clear" w:color="auto" w:fill="EDEDED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</w:tr>
      <w:tr w:rsidR="008164BF" w:rsidRPr="008164BF" w:rsidTr="000E33A6">
        <w:trPr>
          <w:trHeight w:val="300"/>
        </w:trPr>
        <w:tc>
          <w:tcPr>
            <w:tcW w:w="3686" w:type="dxa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Предоставление/изменение прав доступа</w:t>
            </w:r>
          </w:p>
        </w:tc>
        <w:tc>
          <w:tcPr>
            <w:tcW w:w="1701" w:type="dxa"/>
            <w:gridSpan w:val="2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gridSpan w:val="2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</w:tr>
      <w:tr w:rsidR="008164BF" w:rsidRPr="008164BF" w:rsidTr="000E33A6">
        <w:trPr>
          <w:trHeight w:val="300"/>
        </w:trPr>
        <w:tc>
          <w:tcPr>
            <w:tcW w:w="3686" w:type="dxa"/>
            <w:noWrap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Устранение некорректных действий пользователей</w:t>
            </w:r>
          </w:p>
        </w:tc>
        <w:tc>
          <w:tcPr>
            <w:tcW w:w="1701" w:type="dxa"/>
            <w:gridSpan w:val="2"/>
            <w:noWrap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noWrap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8164BF" w:rsidRPr="008164BF" w:rsidTr="000E33A6">
        <w:trPr>
          <w:trHeight w:val="300"/>
        </w:trPr>
        <w:tc>
          <w:tcPr>
            <w:tcW w:w="3686" w:type="dxa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Решение проблем/устранение сбоя (Решение Инцидента)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8164BF" w:rsidRPr="008164BF" w:rsidTr="000E33A6">
        <w:trPr>
          <w:trHeight w:val="300"/>
        </w:trPr>
        <w:tc>
          <w:tcPr>
            <w:tcW w:w="3686" w:type="dxa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Изменение данных/массовое изменение данных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:rsidR="008164BF" w:rsidRPr="008164BF" w:rsidRDefault="008164BF" w:rsidP="008164BF">
            <w:pPr>
              <w:spacing w:after="12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</w:tr>
    </w:tbl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numPr>
          <w:ilvl w:val="0"/>
          <w:numId w:val="15"/>
        </w:numPr>
        <w:spacing w:before="120" w:after="200" w:line="276" w:lineRule="auto"/>
        <w:ind w:left="3402" w:hanging="283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10" w:name="_Toc207429801"/>
      <w:bookmarkStart w:id="11" w:name="_Toc207781772"/>
      <w:r w:rsidRPr="008164BF">
        <w:rPr>
          <w:rFonts w:ascii="Tahoma" w:eastAsiaTheme="minorEastAsia" w:hAnsi="Tahoma" w:cs="Tahoma"/>
          <w:b/>
          <w:sz w:val="20"/>
          <w:szCs w:val="20"/>
        </w:rPr>
        <w:t xml:space="preserve"> Управление нештатными ситуациями</w:t>
      </w:r>
      <w:bookmarkEnd w:id="10"/>
      <w:bookmarkEnd w:id="11"/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В случае если Исполнитель предвидит невозможность исполнения обязательств в соответствии с принятым уровнем сервиса или в полном объеме, Исполнитель должен немедленно уведомить ответственного представителя Заказчика и при необходимости разработать совместный план действий по разрешению нештатной ситуации.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Исполнитель должен вести реестр нештатных ситуаций, содержащий основные риски по всем типам услуг, и там, где возможно, механизмы их предотвращения. Исполнитель должен периодически пересматривать реестр и принимать разумные меры для снижения последствий нештатных ситуаций.</w:t>
      </w:r>
    </w:p>
    <w:p w:rsidR="008164BF" w:rsidRPr="008164BF" w:rsidRDefault="008164BF" w:rsidP="008164BF">
      <w:pPr>
        <w:spacing w:after="120" w:line="240" w:lineRule="auto"/>
        <w:ind w:firstLine="720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При возникновении нештатной ситуации исполнитель должен реагировать на заявку Заказчика в соответствии с Критичным приоритетом, независимо от Пункта 3 настоящего Приложения и отразить Фактические трудозатраты за Отчетный период в Акте оказанных Услуг.</w:t>
      </w: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numPr>
          <w:ilvl w:val="0"/>
          <w:numId w:val="15"/>
        </w:numPr>
        <w:spacing w:before="120" w:after="200" w:line="276" w:lineRule="auto"/>
        <w:ind w:left="3402" w:hanging="283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12" w:name="_Toc207425757"/>
      <w:bookmarkStart w:id="13" w:name="_Toc207429805"/>
      <w:r w:rsidRPr="008164BF">
        <w:rPr>
          <w:rFonts w:ascii="Tahoma" w:eastAsiaTheme="minorEastAsia" w:hAnsi="Tahoma" w:cs="Tahoma"/>
          <w:b/>
          <w:sz w:val="20"/>
          <w:szCs w:val="20"/>
        </w:rPr>
        <w:t>Регулярная отчётность</w:t>
      </w:r>
      <w:bookmarkEnd w:id="12"/>
      <w:bookmarkEnd w:id="13"/>
    </w:p>
    <w:p w:rsidR="008164BF" w:rsidRPr="008164BF" w:rsidRDefault="008164BF" w:rsidP="008164BF">
      <w:pPr>
        <w:spacing w:after="120" w:line="240" w:lineRule="auto"/>
        <w:ind w:firstLine="708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8164BF">
        <w:rPr>
          <w:rFonts w:ascii="Tahoma" w:eastAsiaTheme="minorEastAsia" w:hAnsi="Tahoma" w:cs="Tahoma"/>
          <w:sz w:val="20"/>
          <w:szCs w:val="20"/>
          <w:lang w:eastAsia="ru-RU"/>
        </w:rPr>
        <w:t>Ежемесячно Исполнитель обязан предоставлять Заказчику следующую информацию о ходе выполнения работ: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5963"/>
        <w:gridCol w:w="1843"/>
        <w:gridCol w:w="2009"/>
      </w:tblGrid>
      <w:tr w:rsidR="008164BF" w:rsidRPr="008164BF" w:rsidTr="000E33A6">
        <w:trPr>
          <w:tblHeader/>
        </w:trPr>
        <w:tc>
          <w:tcPr>
            <w:tcW w:w="445" w:type="dxa"/>
            <w:shd w:val="clear" w:color="auto" w:fill="CCCCCC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63" w:type="dxa"/>
            <w:shd w:val="clear" w:color="auto" w:fill="CCCCCC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Порядок предоставления</w:t>
            </w:r>
          </w:p>
        </w:tc>
        <w:tc>
          <w:tcPr>
            <w:tcW w:w="2009" w:type="dxa"/>
            <w:shd w:val="clear" w:color="auto" w:fill="CCCCCC"/>
            <w:vAlign w:val="center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Форма</w:t>
            </w:r>
          </w:p>
        </w:tc>
      </w:tr>
      <w:tr w:rsidR="008164BF" w:rsidRPr="008164BF" w:rsidTr="000E33A6">
        <w:tc>
          <w:tcPr>
            <w:tcW w:w="445" w:type="dxa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63" w:type="dxa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Ежемесячный отчет о поступивших от Заказчика заявках по вопросам эксплуатации Системы, включающий следующую информацию:</w:t>
            </w:r>
          </w:p>
          <w:p w:rsidR="008164BF" w:rsidRPr="008164BF" w:rsidRDefault="008164BF" w:rsidP="008164BF">
            <w:pPr>
              <w:numPr>
                <w:ilvl w:val="0"/>
                <w:numId w:val="14"/>
              </w:numPr>
              <w:spacing w:after="12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количество решенных инцидентов и объем часов, затраченных Исполнителем; </w:t>
            </w:r>
          </w:p>
          <w:p w:rsidR="008164BF" w:rsidRPr="008164BF" w:rsidRDefault="008164BF" w:rsidP="008164BF">
            <w:pPr>
              <w:numPr>
                <w:ilvl w:val="0"/>
                <w:numId w:val="14"/>
              </w:numPr>
              <w:spacing w:after="12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открытые заявки, сроки их решения;</w:t>
            </w:r>
          </w:p>
          <w:p w:rsidR="008164BF" w:rsidRPr="008164BF" w:rsidRDefault="008164BF" w:rsidP="008164BF">
            <w:pPr>
              <w:numPr>
                <w:ilvl w:val="0"/>
                <w:numId w:val="14"/>
              </w:numPr>
              <w:spacing w:after="12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план работ на следующий месяц; </w:t>
            </w:r>
          </w:p>
          <w:p w:rsidR="008164BF" w:rsidRPr="008164BF" w:rsidRDefault="008164BF" w:rsidP="008164BF">
            <w:pPr>
              <w:numPr>
                <w:ilvl w:val="0"/>
                <w:numId w:val="14"/>
              </w:numPr>
              <w:spacing w:after="12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жалобы пользователей; </w:t>
            </w:r>
          </w:p>
          <w:p w:rsidR="008164BF" w:rsidRPr="008164BF" w:rsidRDefault="008164BF" w:rsidP="008164BF">
            <w:pPr>
              <w:numPr>
                <w:ilvl w:val="0"/>
                <w:numId w:val="14"/>
              </w:numPr>
              <w:spacing w:after="12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нарушение сроков реакции и сроков решения (фиксируется количество времени и причина просрочки по каждой заявке); </w:t>
            </w:r>
          </w:p>
          <w:p w:rsidR="008164BF" w:rsidRPr="008164BF" w:rsidRDefault="008164BF" w:rsidP="008164BF">
            <w:pPr>
              <w:numPr>
                <w:ilvl w:val="0"/>
                <w:numId w:val="14"/>
              </w:numPr>
              <w:spacing w:after="12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замечания и предложения сторон. </w:t>
            </w:r>
          </w:p>
        </w:tc>
        <w:tc>
          <w:tcPr>
            <w:tcW w:w="1843" w:type="dxa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В электронном виде </w:t>
            </w:r>
          </w:p>
        </w:tc>
        <w:tc>
          <w:tcPr>
            <w:tcW w:w="2009" w:type="dxa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Информационный отчет</w:t>
            </w:r>
          </w:p>
        </w:tc>
      </w:tr>
      <w:tr w:rsidR="008164BF" w:rsidRPr="008164BF" w:rsidTr="000E33A6">
        <w:tc>
          <w:tcPr>
            <w:tcW w:w="445" w:type="dxa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63" w:type="dxa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Отчетные бухгалтерские документы о предоставленных услугах за отчетный период</w:t>
            </w:r>
          </w:p>
        </w:tc>
        <w:tc>
          <w:tcPr>
            <w:tcW w:w="1843" w:type="dxa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соответствии с договором</w:t>
            </w:r>
          </w:p>
        </w:tc>
        <w:tc>
          <w:tcPr>
            <w:tcW w:w="2009" w:type="dxa"/>
          </w:tcPr>
          <w:p w:rsidR="008164BF" w:rsidRPr="008164BF" w:rsidRDefault="008164BF" w:rsidP="008164BF">
            <w:pPr>
              <w:spacing w:after="12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8164B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Акт оказанных услуг, счет и счет-фактура</w:t>
            </w:r>
          </w:p>
        </w:tc>
      </w:tr>
    </w:tbl>
    <w:p w:rsidR="008164BF" w:rsidRPr="008164BF" w:rsidRDefault="008164BF" w:rsidP="008164BF">
      <w:pPr>
        <w:keepNext/>
        <w:spacing w:before="240" w:after="60" w:line="240" w:lineRule="auto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</w:pP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8164BF" w:rsidRDefault="008164BF" w:rsidP="008164BF">
      <w:pPr>
        <w:spacing w:after="12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A1AF1" w:rsidRDefault="006A1AF1" w:rsidP="008164BF">
      <w:pPr>
        <w:ind w:firstLine="284"/>
        <w:jc w:val="center"/>
        <w:rPr>
          <w:rFonts w:ascii="Tahoma" w:hAnsi="Tahoma" w:cs="Tahoma"/>
        </w:rPr>
      </w:pPr>
    </w:p>
    <w:p w:rsidR="006A1AF1" w:rsidRDefault="006A1AF1" w:rsidP="006A1AF1">
      <w:pPr>
        <w:jc w:val="center"/>
        <w:rPr>
          <w:rFonts w:ascii="Tahoma" w:hAnsi="Tahoma" w:cs="Tahoma"/>
        </w:rPr>
      </w:pPr>
    </w:p>
    <w:p w:rsidR="006A1AF1" w:rsidRDefault="006A1AF1" w:rsidP="006A1AF1">
      <w:pPr>
        <w:jc w:val="center"/>
        <w:rPr>
          <w:rFonts w:ascii="Tahoma" w:hAnsi="Tahoma" w:cs="Tahoma"/>
        </w:rPr>
      </w:pPr>
    </w:p>
    <w:p w:rsidR="006A1AF1" w:rsidRDefault="006A1AF1" w:rsidP="006A1AF1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C2A47" w:rsidRDefault="000C2A47"/>
    <w:p w:rsidR="006A1AF1" w:rsidRDefault="006A1AF1"/>
    <w:sectPr w:rsidR="006A1AF1" w:rsidSect="008164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D38" w:rsidRDefault="00A73D38" w:rsidP="006A1AF1">
      <w:pPr>
        <w:spacing w:after="0" w:line="240" w:lineRule="auto"/>
      </w:pPr>
      <w:r>
        <w:separator/>
      </w:r>
    </w:p>
  </w:endnote>
  <w:endnote w:type="continuationSeparator" w:id="0">
    <w:p w:rsidR="00A73D38" w:rsidRDefault="00A73D38" w:rsidP="006A1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D38" w:rsidRDefault="00A73D38" w:rsidP="006A1AF1">
      <w:pPr>
        <w:spacing w:after="0" w:line="240" w:lineRule="auto"/>
      </w:pPr>
      <w:r>
        <w:separator/>
      </w:r>
    </w:p>
  </w:footnote>
  <w:footnote w:type="continuationSeparator" w:id="0">
    <w:p w:rsidR="00A73D38" w:rsidRDefault="00A73D38" w:rsidP="006A1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6381CF9"/>
    <w:multiLevelType w:val="hybridMultilevel"/>
    <w:tmpl w:val="754AF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06CE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4BA14AB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48563F2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8" w15:restartNumberingAfterBreak="0">
    <w:nsid w:val="532E518A"/>
    <w:multiLevelType w:val="hybridMultilevel"/>
    <w:tmpl w:val="C802A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A840BB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0" w15:restartNumberingAfterBreak="0">
    <w:nsid w:val="62E07C65"/>
    <w:multiLevelType w:val="multilevel"/>
    <w:tmpl w:val="1E9A6FA0"/>
    <w:lvl w:ilvl="0">
      <w:start w:val="1"/>
      <w:numFmt w:val="decimal"/>
      <w:pStyle w:val="1"/>
      <w:lvlText w:val="%1."/>
      <w:lvlJc w:val="left"/>
      <w:pPr>
        <w:ind w:left="5889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"/>
      <w:lvlJc w:val="left"/>
      <w:pPr>
        <w:ind w:left="1320" w:hanging="60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1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D946761"/>
    <w:multiLevelType w:val="hybridMultilevel"/>
    <w:tmpl w:val="98080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DC622A"/>
    <w:multiLevelType w:val="hybridMultilevel"/>
    <w:tmpl w:val="47FAC0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14"/>
  </w:num>
  <w:num w:numId="7">
    <w:abstractNumId w:val="12"/>
  </w:num>
  <w:num w:numId="8">
    <w:abstractNumId w:val="5"/>
  </w:num>
  <w:num w:numId="9">
    <w:abstractNumId w:val="4"/>
  </w:num>
  <w:num w:numId="10">
    <w:abstractNumId w:val="10"/>
  </w:num>
  <w:num w:numId="11">
    <w:abstractNumId w:val="13"/>
  </w:num>
  <w:num w:numId="12">
    <w:abstractNumId w:val="15"/>
  </w:num>
  <w:num w:numId="13">
    <w:abstractNumId w:val="8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F1"/>
    <w:rsid w:val="000C2A47"/>
    <w:rsid w:val="006A1AF1"/>
    <w:rsid w:val="008164BF"/>
    <w:rsid w:val="00921AC2"/>
    <w:rsid w:val="00A7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3DA01"/>
  <w15:chartTrackingRefBased/>
  <w15:docId w15:val="{1580D8F2-C570-4F38-B872-BFCBEE8E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AF1"/>
  </w:style>
  <w:style w:type="paragraph" w:styleId="10">
    <w:name w:val="heading 1"/>
    <w:basedOn w:val="a"/>
    <w:next w:val="a"/>
    <w:link w:val="11"/>
    <w:uiPriority w:val="9"/>
    <w:qFormat/>
    <w:rsid w:val="008164B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,ДВУХУРОВНЕВЫЙ МАРКИР,SL_Абзац списка,Абзац списка литеральный,it_List1,Bullet List,FooterText,numbered,Paragraphe de liste1,lp1"/>
    <w:basedOn w:val="a"/>
    <w:link w:val="a5"/>
    <w:uiPriority w:val="34"/>
    <w:qFormat/>
    <w:rsid w:val="006A1AF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A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6A1A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6A1AF1"/>
    <w:rPr>
      <w:rFonts w:ascii="Times New Roman" w:hAnsi="Times New Roman" w:cs="Times New Roman" w:hint="default"/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8164BF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customStyle="1" w:styleId="1">
    <w:name w:val="Моя структура 1"/>
    <w:basedOn w:val="a4"/>
    <w:link w:val="12"/>
    <w:qFormat/>
    <w:rsid w:val="008164BF"/>
    <w:pPr>
      <w:numPr>
        <w:numId w:val="10"/>
      </w:numPr>
      <w:spacing w:before="120" w:after="200" w:line="276" w:lineRule="auto"/>
      <w:jc w:val="both"/>
      <w:outlineLvl w:val="0"/>
    </w:pPr>
    <w:rPr>
      <w:rFonts w:ascii="Times New Roman" w:eastAsiaTheme="minorEastAsia" w:hAnsi="Times New Roman"/>
      <w:b/>
    </w:rPr>
  </w:style>
  <w:style w:type="paragraph" w:customStyle="1" w:styleId="2">
    <w:name w:val="Моя структура 2"/>
    <w:basedOn w:val="1"/>
    <w:link w:val="20"/>
    <w:qFormat/>
    <w:rsid w:val="008164BF"/>
    <w:pPr>
      <w:numPr>
        <w:ilvl w:val="1"/>
      </w:numPr>
      <w:spacing w:before="240"/>
    </w:p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ДВУХУРОВНЕВЫЙ МАРКИР Знак,SL_Абзац списка Знак,Абзац списка литеральный Знак,lp1 Знак"/>
    <w:basedOn w:val="a0"/>
    <w:link w:val="a4"/>
    <w:uiPriority w:val="34"/>
    <w:locked/>
    <w:rsid w:val="008164BF"/>
  </w:style>
  <w:style w:type="character" w:customStyle="1" w:styleId="12">
    <w:name w:val="Моя структура 1 Знак"/>
    <w:basedOn w:val="a5"/>
    <w:link w:val="1"/>
    <w:locked/>
    <w:rsid w:val="008164BF"/>
    <w:rPr>
      <w:rFonts w:ascii="Times New Roman" w:eastAsiaTheme="minorEastAsia" w:hAnsi="Times New Roman"/>
      <w:b/>
    </w:rPr>
  </w:style>
  <w:style w:type="character" w:customStyle="1" w:styleId="20">
    <w:name w:val="Моя структура 2 Знак"/>
    <w:basedOn w:val="a5"/>
    <w:link w:val="2"/>
    <w:locked/>
    <w:rsid w:val="008164BF"/>
    <w:rPr>
      <w:rFonts w:ascii="Times New Roman" w:eastAsiaTheme="minorEastAsia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2961</Words>
  <Characters>16884</Characters>
  <Application>Microsoft Office Word</Application>
  <DocSecurity>4</DocSecurity>
  <Lines>140</Lines>
  <Paragraphs>39</Paragraphs>
  <ScaleCrop>false</ScaleCrop>
  <Company>ies</Company>
  <LinksUpToDate>false</LinksUpToDate>
  <CharactersWithSpaces>19806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Попова Анна Германовна</cp:lastModifiedBy>
  <cp:revision>2</cp:revision>
  <dcterms:created xsi:type="dcterms:W3CDTF">2023-06-26T09:45:00Z</dcterms:created>
  <dcterms:modified xsi:type="dcterms:W3CDTF">2023-06-26T09:45:00Z</dcterms:modified>
</cp:coreProperties>
</file>